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РЕПУБЛИКА СРБИЈА</w:t>
      </w:r>
    </w:p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НАРОДНА СКУПШТИНА </w:t>
      </w:r>
    </w:p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Одбор за привреду, регионални развој,</w:t>
      </w:r>
    </w:p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трговину, туризам и енергетику</w:t>
      </w:r>
    </w:p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Број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06-2/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502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-15</w:t>
      </w:r>
    </w:p>
    <w:p w:rsidR="00C36733" w:rsidRPr="009E6E84" w:rsidRDefault="00097F2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22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фебруар</w:t>
      </w:r>
      <w:bookmarkStart w:id="0" w:name="_GoBack"/>
      <w:bookmarkEnd w:id="0"/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580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58063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 године</w:t>
      </w:r>
    </w:p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Б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е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г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р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д</w:t>
      </w:r>
    </w:p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ЗАПИСНИК</w:t>
      </w:r>
    </w:p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35.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СЕДНИЦЕ ОДБОРА ЗА ПРИВРЕДУ, РЕГИОНАЛНИ РАЗВОЈ, ТРГОВИНУ, ТУРИЗАМ И ЕНЕРГЕТИКУ, ОДРЖАНЕ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ДЕЦЕМБРА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ГОДИНЕ</w:t>
      </w:r>
    </w:p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Седница је почела 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часова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минута.</w:t>
      </w:r>
    </w:p>
    <w:p w:rsidR="00666B70" w:rsidRPr="005F06D2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Седницом је председавала Александра Томић, председник Одбора.</w:t>
      </w:r>
    </w:p>
    <w:p w:rsidR="00666B70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Поред председника, седници су при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суствовали чланови Одбора: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Драгољуб Зиндовић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Владан Милошевић, Р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адмило Костић,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Ђорђе Чабаркапа, Горан Ћирић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Владимир Маринкови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ћ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Дејан Чапо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053C1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Седници су присуст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вовали заменици чланова Одбора: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Милош Тошанић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(заменик члана Одбора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Зорана Пралице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Милосав Милојевић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(заменик члана Одбора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Драгољуба Зиндовића),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Горан Вукадиновић (заменик члана Одбора Јелене Мијатовић),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Никола Јоловић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(заменик члана Одбора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Александра Јовичића), Слободан Перић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(заменик члана Одбора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Оливере Пауљескић)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Драган Јовановић (заменик члана Одбора Младена Грујића)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Седници нису присуствовали чланови Одбора: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Зоран Пралица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Драгомир Карић,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Јелена Мијатовић,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Александар Јовичић,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Новица Тончев, Иван Карић,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Младен Грујић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Енис Имамовић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A0769" w:rsidRPr="009E6E84" w:rsidRDefault="0058063F" w:rsidP="00C36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Седници су, на позив председника, присуствовали: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Мирјана Филиповић, државни секретар у Министарству рударства и енергетике, Синиша Танацковић и Јелена Симовић, пом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ћници министра рударства и енергетике, Милица Зорић и Биљана Рамић, виши саветници у Министа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рству рударства и енергетике и Душан Сајић, самостални саветник у Министарству рударства и енергетике.</w:t>
      </w:r>
    </w:p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На предлог председника, Одбор је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већином гласова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утврдио следећи</w:t>
      </w:r>
    </w:p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36733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 н е в н и   р е д</w:t>
      </w:r>
    </w:p>
    <w:p w:rsidR="00376CC7" w:rsidRPr="009E6E84" w:rsidRDefault="0058063F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3AF0" w:rsidRPr="00AE3AF0" w:rsidRDefault="0058063F" w:rsidP="00AE3AF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AF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Разматрање Предлога закона о рударству и геолошким 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>истраживањима, који је поднела Влада (број 310-2925/15 од 6. новембра 2015. године);</w:t>
      </w:r>
    </w:p>
    <w:p w:rsidR="00AE3AF0" w:rsidRPr="00AE3AF0" w:rsidRDefault="0058063F" w:rsidP="00AE3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AF0" w:rsidRPr="00AE3AF0" w:rsidRDefault="0058063F" w:rsidP="00AE3AF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AF0">
        <w:rPr>
          <w:rFonts w:ascii="Times New Roman" w:eastAsia="Times New Roman" w:hAnsi="Times New Roman" w:cs="Times New Roman"/>
          <w:sz w:val="24"/>
          <w:szCs w:val="24"/>
        </w:rPr>
        <w:t xml:space="preserve">2. Разматрање Предлога стратегије развоја енергетике Републике Србије до 2025. године са пројекцијама до 2030. године, који је поднела Влада (број 312-1573/15 од 9. јуна </w:t>
      </w:r>
      <w:r w:rsidRPr="00AE3AF0">
        <w:rPr>
          <w:rFonts w:ascii="Times New Roman" w:eastAsia="Times New Roman" w:hAnsi="Times New Roman" w:cs="Times New Roman"/>
          <w:sz w:val="24"/>
          <w:szCs w:val="24"/>
        </w:rPr>
        <w:t>2015. године).</w:t>
      </w:r>
    </w:p>
    <w:p w:rsidR="0091796E" w:rsidRPr="009E6E84" w:rsidRDefault="0058063F" w:rsidP="007A281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277B" w:rsidRPr="002F2B2C" w:rsidRDefault="0058063F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Прва тачка дневног реда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3AF0">
        <w:rPr>
          <w:rFonts w:ascii="Times New Roman" w:eastAsia="Times New Roman" w:hAnsi="Times New Roman" w:cs="Times New Roman"/>
          <w:b/>
          <w:sz w:val="24"/>
          <w:szCs w:val="24"/>
        </w:rPr>
        <w:t>Разматрање Предлога закона о рударству и геолошким истраживањима</w:t>
      </w:r>
    </w:p>
    <w:p w:rsidR="00A24F8F" w:rsidRPr="009E6E84" w:rsidRDefault="0058063F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64298" w:rsidRPr="009E6E84" w:rsidRDefault="0058063F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Одбор је размотрио Предлог закона 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рударству и геолошким истраживањима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начелу и поднео Извештај Народној скупштини.</w:t>
      </w:r>
    </w:p>
    <w:p w:rsidR="00231EC1" w:rsidRPr="009E6E84" w:rsidRDefault="0058063F" w:rsidP="007A0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ab/>
      </w:r>
      <w:r w:rsidRPr="009E6E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уводним напоменама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Мирјана Филиповић, државни секретар у Министарству рударства и енергетике,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истакла је да је Закон о рударству писан првенствено као измена и допуна Закона, али је одлучено да то буде нов закон, с обзиром да има више од 50% измена. Закон о рударству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писан у складу са свим релевантним субјектима, тако да је усаглашен са свим релевантним чиниоц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има у Републици Србији, али и са законским обавезама и регулативама које је Србија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преузела у процесу приступања Европској унији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њега је унето доста новина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односе се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одређивање стратешких сировина,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који начин и како могу бити искоришћене. Она је рекла да је у овом Закону истакнута улога и значај Геолошког завода Републике Србије. То је институција која се финансира из буџета. Овим законом је тој институ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цији дато на значају и моћи ће да обавља и одређене врсте геолошких истраживања која ће омогућити додатне приходе. Законом о рударству регулисане су области које се тичу свих сегмената геолошких истраживања.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Одређене су све врсте експлоатационих резерви.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Мирјана Фили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је истакла да издавање лиценци, сегмент где није постигнут консензус између стручне јавности, тако да је најједноставније било оставити да се то ради на нивоу министарства. </w:t>
      </w:r>
    </w:p>
    <w:p w:rsidR="004D6BFE" w:rsidRDefault="0058063F" w:rsidP="00F17706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У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расправи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народни посланици су разговарали о одузимању надлежности локалној самоуправи. У старом закону локалне самоуправе су могле да дају одређене сагласности око експлоатације и свега осталог. Сугерисало се да би било боље да је министарство ишло на јачање капац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итета локалне самоуправе.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Увођење лиценци је оцењено као добра ствар у новом закону. Такође замолили су министарство да узме у разматрање проблем око рудне ренте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E06D2" w:rsidRPr="009E6E84" w:rsidRDefault="0058063F" w:rsidP="00F17706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Поводом дискусије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речено је да је износ рудне ренте по нашем закону 7%.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Напоменуто је да је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Министарство финансија препознало да је на једном месту потребно нагласити и окупити све елементе који се тичу једног инвеститора, па самим тим и део који се односи на рудну ренту. Дакле, у Министарству финансија се прави један закон који се тиче свих вид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ова и трошкова и накнада које један инвеститор има када дође у Србију. Што се тиче дела који се односи на локалну самоуправу и издавање одобрења из области рударства, Министарство рударства и енергетике сматра да цео тај процес мора бити повезан са локално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 самоуправом због везаности за део који се тиче урбанистичких планова.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Они нису желели да локалној самоуправи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одузму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право на рад, нити нешто слично већ је то препознато као проблем због честих жалби да она нема довољно капацитета за спровођење потребних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послова.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Још једном је наглашено да овим предлогом закона апсолутно ништа није одузето од надлежности општина што се тиче рударства.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Општине нису биле у стању да преузму надлежности које се тичу неких видова истраживања, па су враћале предмете и ту је дола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зило до непотребног продужења те процедуре.</w:t>
      </w:r>
    </w:p>
    <w:p w:rsidR="006A3983" w:rsidRPr="00F54436" w:rsidRDefault="0058063F" w:rsidP="00F5443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E6E84">
        <w:rPr>
          <w:rFonts w:ascii="Times New Roman" w:hAnsi="Times New Roman" w:cs="Times New Roman"/>
          <w:color w:val="000000" w:themeColor="text1"/>
          <w:sz w:val="24"/>
        </w:rPr>
        <w:tab/>
        <w:t xml:space="preserve">Одбор је, у складу са чланом 155. став 2. Пословника Народне скупштине, одлучио </w:t>
      </w:r>
      <w:r w:rsidRPr="00105973">
        <w:rPr>
          <w:rFonts w:ascii="Times New Roman" w:hAnsi="Times New Roman" w:cs="Times New Roman"/>
          <w:color w:val="000000" w:themeColor="text1"/>
          <w:sz w:val="24"/>
        </w:rPr>
        <w:t>већином гласова</w:t>
      </w:r>
      <w:r w:rsidRPr="0010597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да предложи Народној скупштини да прихвати Предлог закона о </w:t>
      </w:r>
      <w:r>
        <w:rPr>
          <w:rFonts w:ascii="Times New Roman" w:hAnsi="Times New Roman" w:cs="Times New Roman"/>
          <w:color w:val="000000" w:themeColor="text1"/>
          <w:sz w:val="24"/>
        </w:rPr>
        <w:t>рударству и геолошким истраживањима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у начелу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6498E" w:rsidRPr="00F54436" w:rsidRDefault="0058063F" w:rsidP="006A3983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У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дискусији су учествовали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Александра Томић,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Драган Јовановић, Мирјана Филиповић и Душан Сајић.</w:t>
      </w:r>
    </w:p>
    <w:p w:rsidR="006A3983" w:rsidRPr="009E6E84" w:rsidRDefault="0058063F" w:rsidP="006A3983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hAnsi="Times New Roman" w:cs="Times New Roman"/>
          <w:color w:val="000000" w:themeColor="text1"/>
          <w:sz w:val="24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DA6D12" w:rsidRDefault="0058063F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7549BA" w:rsidRDefault="0058063F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B2A94" w:rsidRDefault="0058063F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Друга тачка дневног реда - </w:t>
      </w:r>
      <w:r w:rsidRPr="00AE3AF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Разматрање Предлога стратегије </w:t>
      </w:r>
      <w:r w:rsidRPr="00AE3AF0">
        <w:rPr>
          <w:rFonts w:ascii="Times New Roman" w:eastAsia="Times New Roman" w:hAnsi="Times New Roman" w:cs="Times New Roman"/>
          <w:b/>
          <w:sz w:val="24"/>
          <w:szCs w:val="24"/>
        </w:rPr>
        <w:t>развоја енергетике Републике Србије до 2025. године са пројекцијама до 2030. године</w:t>
      </w:r>
    </w:p>
    <w:p w:rsidR="000C0252" w:rsidRDefault="0058063F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252" w:rsidRDefault="0058063F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D47" w:rsidRPr="000C0252" w:rsidRDefault="0058063F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ab/>
      </w:r>
      <w:r w:rsidRPr="000C0252">
        <w:rPr>
          <w:rFonts w:ascii="Times New Roman" w:eastAsia="Times New Roman" w:hAnsi="Times New Roman" w:cs="Times New Roman"/>
          <w:sz w:val="24"/>
          <w:szCs w:val="24"/>
        </w:rPr>
        <w:t>Одбор је размотрио Предлог стратегије развоја енергетике Републике Србије до 2025. године са пројекцијама до 2030. године у начелу и појединостима и под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нео Извештај </w:t>
      </w:r>
      <w:r>
        <w:rPr>
          <w:rFonts w:ascii="Times New Roman" w:eastAsia="Times New Roman" w:hAnsi="Times New Roman" w:cs="Times New Roman"/>
          <w:sz w:val="24"/>
          <w:szCs w:val="24"/>
        </w:rPr>
        <w:t>Народној скупштини.</w:t>
      </w:r>
    </w:p>
    <w:p w:rsidR="00A64D47" w:rsidRDefault="0058063F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уводним напоменама,  Мирјана Филиповић, државни секретар у Министарству рударства и енергетике, истакла је да Стратегија обухвата све саставне елементе енергетике и пројекцију како би требало да изгледа развијена енергетика Републике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Србије.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Узете су у обзир обавезе из Уговора о оснивању Енергетске заједнице, директива Европске уније, посебно из области заштите животне средине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обновљивих извора енергије. Дефинисани су потенцијали целокупног сектора енергетике, пројекције </w:t>
      </w:r>
      <w:r>
        <w:rPr>
          <w:rFonts w:ascii="Times New Roman" w:eastAsia="Times New Roman" w:hAnsi="Times New Roman" w:cs="Times New Roman"/>
          <w:sz w:val="24"/>
          <w:szCs w:val="24"/>
        </w:rPr>
        <w:t>потрошње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стратешки правци деловања за сваку енергетску област. Стратегијом су сагледане могућности проширења капацитета за коришћење рудног богатства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односно лигнита, побољшања енергетске ефикасности и правци смањења енергетске зависности, у складу са преузетим оба</w:t>
      </w:r>
      <w:r>
        <w:rPr>
          <w:rFonts w:ascii="Times New Roman" w:eastAsia="Times New Roman" w:hAnsi="Times New Roman" w:cs="Times New Roman"/>
          <w:sz w:val="24"/>
          <w:szCs w:val="24"/>
        </w:rPr>
        <w:t>везама из директива Европске уније.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Посебан значај је посвећен преузетим обавезама, као што је обавеза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испуњавања циља да 27% од укупне </w:t>
      </w:r>
      <w:r>
        <w:rPr>
          <w:rFonts w:ascii="Times New Roman" w:eastAsia="Times New Roman" w:hAnsi="Times New Roman" w:cs="Times New Roman"/>
          <w:sz w:val="24"/>
          <w:szCs w:val="24"/>
        </w:rPr>
        <w:t>финалне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потр</w:t>
      </w:r>
      <w:r>
        <w:rPr>
          <w:rFonts w:ascii="Times New Roman" w:eastAsia="Times New Roman" w:hAnsi="Times New Roman" w:cs="Times New Roman"/>
          <w:sz w:val="24"/>
          <w:szCs w:val="24"/>
        </w:rPr>
        <w:t>ошње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енергије буде произведено из обновљивих извора енергије у 2020. години.</w:t>
      </w:r>
    </w:p>
    <w:p w:rsidR="00E60D20" w:rsidRDefault="0058063F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Председник Одбора је информисао чланове Одбора о јавној дебати о Предлогу </w:t>
      </w:r>
      <w:r>
        <w:rPr>
          <w:rFonts w:ascii="Times New Roman" w:eastAsia="Times New Roman" w:hAnsi="Times New Roman" w:cs="Times New Roman"/>
          <w:sz w:val="24"/>
          <w:szCs w:val="24"/>
        </w:rPr>
        <w:t>стратегије развоја енергетике Републике Србије до 2025.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године са пројекцијама до 2030.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године коју је 2. септембра 2015. године одржао Парламентарни форум за енергетску политику Реп</w:t>
      </w:r>
      <w:r>
        <w:rPr>
          <w:rFonts w:ascii="Times New Roman" w:eastAsia="Times New Roman" w:hAnsi="Times New Roman" w:cs="Times New Roman"/>
          <w:sz w:val="24"/>
          <w:szCs w:val="24"/>
        </w:rPr>
        <w:t>ублике Србије.</w:t>
      </w:r>
    </w:p>
    <w:p w:rsidR="00AF586C" w:rsidRPr="009E6E84" w:rsidRDefault="0058063F" w:rsidP="00AF586C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дискусији народни посланици су поставили питања, изнели ставове и мишљење и дали предлоге и сугестије. Постављена су следећа питања:</w:t>
      </w:r>
    </w:p>
    <w:p w:rsidR="00AF586C" w:rsidRDefault="0058063F" w:rsidP="00AF586C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каква је ситуација временски око акционих планова и детаљних циљева, да ли су они већ израђени;</w:t>
      </w:r>
    </w:p>
    <w:p w:rsidR="002907EF" w:rsidRDefault="0058063F" w:rsidP="00AF586C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како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ће се дефинисати конкретно део реализације интерконекције са Македонијом, Хрватском и Бугарском;</w:t>
      </w:r>
    </w:p>
    <w:p w:rsidR="006900F2" w:rsidRDefault="0058063F" w:rsidP="00AF586C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реструктурирање „Србијагаса“, када се планира, када се завршава и да ли је то у процесу.</w:t>
      </w:r>
    </w:p>
    <w:p w:rsidR="006F51A2" w:rsidRDefault="0058063F" w:rsidP="00AF586C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Поводом дискусије,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речено је да је расписан тендер и да се завршава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пројекат везан за просторне планове, регулације везане за интерконекцију са Бугарском. Интензивирани су разговори са Европском комисијом, са Канцеларијом за европске интеграцијеи начин финансирања целокупног пројекта.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Урађен је и детаљан план шта и како 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бити извођено у којој години. Остало је да се са Европском комисијом договори са канцеларијом да ли ће тај пројекат бити финансиран из средстава ИПА 2016. или 2017. године.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Такође постоје неки пројекти који су у процесу најаве, као на пример Пројекат „Те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сла“. Истакнуто је да је на Влади донет план реструктурирања „Србијагаса“. „Србијагас“ је основао две компаније, једна компанија се бави дистрибуцијом, а друга компанија се бави транспортом гаса. Те две компаније су уписане у АПР и почеле су са својим радо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</w:t>
      </w:r>
    </w:p>
    <w:p w:rsidR="00C72AC0" w:rsidRDefault="0058063F" w:rsidP="00AF586C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841AD" w:rsidRPr="00BD7199" w:rsidRDefault="0058063F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62974" w:rsidRDefault="0058063F" w:rsidP="00462974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462974" w:rsidRPr="00462974" w:rsidRDefault="0058063F" w:rsidP="00462974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2974" w:rsidRDefault="0058063F" w:rsidP="00462974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Одбор је, у складу са чланом 155. став 2. и чланом 191. Пословника Народне скупштине, одлучио већином гласова да предложи Народној скупштини да прихвати Предлог стратегије развоја енергетике Републике Србије до 2025. године са пројекцијама до 2030.</w:t>
      </w:r>
      <w:r>
        <w:rPr>
          <w:rFonts w:ascii="Times New Roman" w:hAnsi="Times New Roman" w:cs="Times New Roman"/>
          <w:sz w:val="24"/>
          <w:szCs w:val="24"/>
        </w:rPr>
        <w:t xml:space="preserve"> године у начелу</w:t>
      </w:r>
      <w:r w:rsidRPr="00A27A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AC0" w:rsidRDefault="0058063F" w:rsidP="00462974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C72AC0" w:rsidRDefault="0058063F" w:rsidP="00462974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C72AC0" w:rsidRDefault="0058063F" w:rsidP="00462974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C72AC0" w:rsidRDefault="0058063F" w:rsidP="00462974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62974" w:rsidRDefault="0058063F" w:rsidP="0046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974" w:rsidRDefault="0058063F" w:rsidP="00462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462974" w:rsidRPr="004E495A" w:rsidRDefault="0058063F" w:rsidP="00462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974" w:rsidRDefault="0058063F" w:rsidP="00462974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9105A">
        <w:rPr>
          <w:rFonts w:ascii="Times New Roman" w:hAnsi="Times New Roman" w:cs="Times New Roman"/>
          <w:sz w:val="24"/>
          <w:szCs w:val="24"/>
        </w:rPr>
        <w:t xml:space="preserve">Одбор је, у складу са чланом 164. став 1. </w:t>
      </w:r>
      <w:r>
        <w:rPr>
          <w:rFonts w:ascii="Times New Roman" w:hAnsi="Times New Roman" w:cs="Times New Roman"/>
          <w:sz w:val="24"/>
          <w:szCs w:val="24"/>
        </w:rPr>
        <w:t xml:space="preserve">и чланом 191. </w:t>
      </w:r>
      <w:r w:rsidRPr="0029105A">
        <w:rPr>
          <w:rFonts w:ascii="Times New Roman" w:hAnsi="Times New Roman" w:cs="Times New Roman"/>
          <w:sz w:val="24"/>
          <w:szCs w:val="24"/>
        </w:rPr>
        <w:t>Пословника Народне скупштине, размотрио амандмане поднете на</w:t>
      </w:r>
      <w:r>
        <w:rPr>
          <w:rFonts w:ascii="Times New Roman" w:hAnsi="Times New Roman" w:cs="Times New Roman"/>
          <w:sz w:val="24"/>
          <w:szCs w:val="24"/>
        </w:rPr>
        <w:t xml:space="preserve"> Предлог стратегије развоја енергетике Републике Србије до 2025. године са пројекцијама до 2030. године</w:t>
      </w:r>
      <w:r w:rsidRPr="00A27A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974" w:rsidRPr="0029105A" w:rsidRDefault="0058063F" w:rsidP="0046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974" w:rsidRPr="00225DC3" w:rsidRDefault="0058063F" w:rsidP="0046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0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105A">
        <w:rPr>
          <w:rFonts w:ascii="Times New Roman" w:hAnsi="Times New Roman" w:cs="Times New Roman"/>
          <w:sz w:val="24"/>
          <w:szCs w:val="24"/>
        </w:rPr>
        <w:t xml:space="preserve">Одбор је одлучио да предложи Народној скупштини </w:t>
      </w:r>
      <w:r w:rsidRPr="0029105A">
        <w:rPr>
          <w:rFonts w:ascii="Times New Roman" w:hAnsi="Times New Roman" w:cs="Times New Roman"/>
          <w:b/>
          <w:sz w:val="24"/>
          <w:szCs w:val="24"/>
        </w:rPr>
        <w:t>да прихвати</w:t>
      </w:r>
      <w:r w:rsidRPr="0029105A">
        <w:rPr>
          <w:rFonts w:ascii="Times New Roman" w:hAnsi="Times New Roman" w:cs="Times New Roman"/>
          <w:sz w:val="24"/>
          <w:szCs w:val="24"/>
        </w:rPr>
        <w:t xml:space="preserve"> амандман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DC3">
        <w:rPr>
          <w:rFonts w:ascii="Times New Roman" w:hAnsi="Times New Roman" w:cs="Times New Roman"/>
          <w:sz w:val="24"/>
          <w:szCs w:val="24"/>
        </w:rPr>
        <w:t>на тачку 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5DC3">
        <w:rPr>
          <w:rFonts w:ascii="Times New Roman" w:hAnsi="Times New Roman" w:cs="Times New Roman"/>
          <w:sz w:val="24"/>
          <w:szCs w:val="24"/>
        </w:rPr>
        <w:t>, који су заједно поднели народни посланици Ненад Чанак, Бојан Костреш, Оле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25DC3">
        <w:rPr>
          <w:rFonts w:ascii="Times New Roman" w:hAnsi="Times New Roman" w:cs="Times New Roman"/>
          <w:sz w:val="24"/>
          <w:szCs w:val="24"/>
        </w:rPr>
        <w:t>а Папуга, Нада Ла</w:t>
      </w:r>
      <w:r>
        <w:rPr>
          <w:rFonts w:ascii="Times New Roman" w:hAnsi="Times New Roman" w:cs="Times New Roman"/>
          <w:sz w:val="24"/>
          <w:szCs w:val="24"/>
        </w:rPr>
        <w:t>зић, Ђорђе Стојшић и Дејан Чапо.</w:t>
      </w:r>
    </w:p>
    <w:p w:rsidR="00462974" w:rsidRPr="0029105A" w:rsidRDefault="0058063F" w:rsidP="0046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974" w:rsidRDefault="0058063F" w:rsidP="00462974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9105A">
        <w:rPr>
          <w:rFonts w:ascii="Times New Roman" w:hAnsi="Times New Roman" w:cs="Times New Roman"/>
          <w:sz w:val="24"/>
          <w:szCs w:val="24"/>
        </w:rPr>
        <w:t xml:space="preserve">Одбор је одлучио да предложи Народној скупштини </w:t>
      </w:r>
      <w:r w:rsidRPr="0029105A">
        <w:rPr>
          <w:rFonts w:ascii="Times New Roman" w:hAnsi="Times New Roman" w:cs="Times New Roman"/>
          <w:b/>
          <w:sz w:val="24"/>
          <w:szCs w:val="24"/>
        </w:rPr>
        <w:t xml:space="preserve">да </w:t>
      </w:r>
      <w:r>
        <w:rPr>
          <w:rFonts w:ascii="Times New Roman" w:hAnsi="Times New Roman" w:cs="Times New Roman"/>
          <w:b/>
          <w:sz w:val="24"/>
          <w:szCs w:val="24"/>
        </w:rPr>
        <w:t>одбије</w:t>
      </w:r>
      <w:r w:rsidRPr="0029105A">
        <w:rPr>
          <w:rFonts w:ascii="Times New Roman" w:hAnsi="Times New Roman" w:cs="Times New Roman"/>
          <w:sz w:val="24"/>
          <w:szCs w:val="24"/>
        </w:rPr>
        <w:t xml:space="preserve"> следеће амандмане:</w:t>
      </w:r>
    </w:p>
    <w:p w:rsidR="00462974" w:rsidRPr="00225DC3" w:rsidRDefault="0058063F" w:rsidP="0046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D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DC3">
        <w:rPr>
          <w:rFonts w:ascii="Times New Roman" w:hAnsi="Times New Roman" w:cs="Times New Roman"/>
          <w:sz w:val="24"/>
          <w:szCs w:val="24"/>
        </w:rPr>
        <w:t>на тачку 2.2, који су заједно поднели народни посланици Ненад Чанак, Бојан Костреш, Оле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25DC3">
        <w:rPr>
          <w:rFonts w:ascii="Times New Roman" w:hAnsi="Times New Roman" w:cs="Times New Roman"/>
          <w:sz w:val="24"/>
          <w:szCs w:val="24"/>
        </w:rPr>
        <w:t>а Папуга, Нада Лазић, Ђорђе Стојшић и Дејан Чапо;</w:t>
      </w:r>
    </w:p>
    <w:p w:rsidR="00462974" w:rsidRPr="00225DC3" w:rsidRDefault="0058063F" w:rsidP="0046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D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DC3">
        <w:rPr>
          <w:rFonts w:ascii="Times New Roman" w:hAnsi="Times New Roman" w:cs="Times New Roman"/>
          <w:sz w:val="24"/>
          <w:szCs w:val="24"/>
        </w:rPr>
        <w:t xml:space="preserve">на тачку </w:t>
      </w:r>
      <w:r>
        <w:rPr>
          <w:rFonts w:ascii="Times New Roman" w:hAnsi="Times New Roman" w:cs="Times New Roman"/>
          <w:sz w:val="24"/>
          <w:szCs w:val="24"/>
        </w:rPr>
        <w:t>3.1</w:t>
      </w:r>
      <w:r w:rsidRPr="00225DC3">
        <w:rPr>
          <w:rFonts w:ascii="Times New Roman" w:hAnsi="Times New Roman" w:cs="Times New Roman"/>
          <w:sz w:val="24"/>
          <w:szCs w:val="24"/>
        </w:rPr>
        <w:t>, који су заједно поднели</w:t>
      </w:r>
      <w:r w:rsidRPr="00225DC3">
        <w:rPr>
          <w:rFonts w:ascii="Times New Roman" w:hAnsi="Times New Roman" w:cs="Times New Roman"/>
          <w:sz w:val="24"/>
          <w:szCs w:val="24"/>
        </w:rPr>
        <w:t xml:space="preserve"> народни посланици Ненад Чанак, Бојан Костреш, Оле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25DC3">
        <w:rPr>
          <w:rFonts w:ascii="Times New Roman" w:hAnsi="Times New Roman" w:cs="Times New Roman"/>
          <w:sz w:val="24"/>
          <w:szCs w:val="24"/>
        </w:rPr>
        <w:t>а Папуга, Нада Лазић, Ђорђе Стојшић и Дејан Чапо;</w:t>
      </w:r>
    </w:p>
    <w:p w:rsidR="00462974" w:rsidRPr="00225DC3" w:rsidRDefault="0058063F" w:rsidP="0046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D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DC3">
        <w:rPr>
          <w:rFonts w:ascii="Times New Roman" w:hAnsi="Times New Roman" w:cs="Times New Roman"/>
          <w:sz w:val="24"/>
          <w:szCs w:val="24"/>
        </w:rPr>
        <w:t xml:space="preserve">на тачку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5DC3">
        <w:rPr>
          <w:rFonts w:ascii="Times New Roman" w:hAnsi="Times New Roman" w:cs="Times New Roman"/>
          <w:sz w:val="24"/>
          <w:szCs w:val="24"/>
        </w:rPr>
        <w:t>.2, који су заједно поднели народни посланици Ненад Чанак, Бојан Костреш, Оле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25DC3">
        <w:rPr>
          <w:rFonts w:ascii="Times New Roman" w:hAnsi="Times New Roman" w:cs="Times New Roman"/>
          <w:sz w:val="24"/>
          <w:szCs w:val="24"/>
        </w:rPr>
        <w:t>а Папуга, Нада Лазић, Ђорђе Стојшић и Дејан Чапо;</w:t>
      </w:r>
    </w:p>
    <w:p w:rsidR="00462974" w:rsidRPr="00225DC3" w:rsidRDefault="0058063F" w:rsidP="0046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D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DC3">
        <w:rPr>
          <w:rFonts w:ascii="Times New Roman" w:hAnsi="Times New Roman" w:cs="Times New Roman"/>
          <w:sz w:val="24"/>
          <w:szCs w:val="24"/>
        </w:rPr>
        <w:t xml:space="preserve">на тачку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5D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5DC3">
        <w:rPr>
          <w:rFonts w:ascii="Times New Roman" w:hAnsi="Times New Roman" w:cs="Times New Roman"/>
          <w:sz w:val="24"/>
          <w:szCs w:val="24"/>
        </w:rPr>
        <w:t>,</w:t>
      </w:r>
      <w:r w:rsidRPr="00225DC3">
        <w:rPr>
          <w:rFonts w:ascii="Times New Roman" w:hAnsi="Times New Roman" w:cs="Times New Roman"/>
          <w:sz w:val="24"/>
          <w:szCs w:val="24"/>
        </w:rPr>
        <w:t xml:space="preserve"> који су заједно поднели народни посланици Ненад Чанак, Бојан Костреш, Оле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25DC3">
        <w:rPr>
          <w:rFonts w:ascii="Times New Roman" w:hAnsi="Times New Roman" w:cs="Times New Roman"/>
          <w:sz w:val="24"/>
          <w:szCs w:val="24"/>
        </w:rPr>
        <w:t>а Папуга, Нада Лазић, Ђорђе Стојшић и Дејан Чапо;</w:t>
      </w:r>
    </w:p>
    <w:p w:rsidR="00462974" w:rsidRDefault="0058063F" w:rsidP="0046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тачку 5.5. и 5.6, који су са исправком заједно поднели народни посланици Ненад Чанак, Бојан Костреш, Олена Папуга, Нада Лазић,</w:t>
      </w:r>
      <w:r>
        <w:rPr>
          <w:rFonts w:ascii="Times New Roman" w:hAnsi="Times New Roman" w:cs="Times New Roman"/>
          <w:sz w:val="24"/>
          <w:szCs w:val="24"/>
        </w:rPr>
        <w:t xml:space="preserve"> Ђорђе Стојшић и Дејан Чапо.</w:t>
      </w:r>
    </w:p>
    <w:p w:rsidR="00462974" w:rsidRPr="00462974" w:rsidRDefault="0058063F" w:rsidP="0046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 дискусији су учествовали Александра Томић, Владимир Маринковић и Мирјана Филиповић.</w:t>
      </w:r>
    </w:p>
    <w:p w:rsidR="00462974" w:rsidRDefault="0058063F" w:rsidP="00462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 известиоцa Одбора на седници Народне скупштине одређена је Александра Томић, председник Одбора.</w:t>
      </w:r>
    </w:p>
    <w:p w:rsidR="00700C73" w:rsidRPr="009E6E84" w:rsidRDefault="0058063F" w:rsidP="002B79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C0DAB" w:rsidRPr="003353F8" w:rsidRDefault="0058063F" w:rsidP="00A0742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Седница је закључена у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56AA9">
        <w:rPr>
          <w:rFonts w:ascii="Times New Roman" w:eastAsia="Times New Roman" w:hAnsi="Times New Roman" w:cs="Times New Roman"/>
          <w:sz w:val="24"/>
          <w:szCs w:val="24"/>
        </w:rPr>
        <w:t xml:space="preserve"> часова и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05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минута.</w:t>
      </w:r>
    </w:p>
    <w:p w:rsidR="00C36733" w:rsidRPr="009E6E84" w:rsidRDefault="0058063F" w:rsidP="002B790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Саставни део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овог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записника чини обрађени тонски снимак седнице Одбора.</w:t>
      </w:r>
    </w:p>
    <w:p w:rsidR="00843FC3" w:rsidRDefault="0058063F" w:rsidP="002B790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0C73" w:rsidRDefault="0058063F" w:rsidP="002B790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5B3F" w:rsidRPr="009E6E84" w:rsidRDefault="0058063F" w:rsidP="002B790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43FC3" w:rsidRPr="009E6E84" w:rsidRDefault="0058063F" w:rsidP="002B790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632"/>
      </w:tblGrid>
      <w:tr w:rsidR="003429C8" w:rsidTr="00C36733">
        <w:tc>
          <w:tcPr>
            <w:tcW w:w="4788" w:type="dxa"/>
          </w:tcPr>
          <w:p w:rsidR="00C36733" w:rsidRPr="009E6E84" w:rsidRDefault="0058063F" w:rsidP="002B790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</w:t>
            </w:r>
          </w:p>
          <w:p w:rsidR="00C36733" w:rsidRPr="009E6E84" w:rsidRDefault="0058063F" w:rsidP="002B790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6733" w:rsidRPr="009E6E84" w:rsidRDefault="0058063F" w:rsidP="002B790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Душан Лазић</w:t>
            </w:r>
          </w:p>
        </w:tc>
        <w:tc>
          <w:tcPr>
            <w:tcW w:w="4788" w:type="dxa"/>
          </w:tcPr>
          <w:p w:rsidR="00C36733" w:rsidRPr="009E6E84" w:rsidRDefault="0058063F" w:rsidP="002B790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ПРЕДСЕДНИК</w:t>
            </w:r>
          </w:p>
          <w:p w:rsidR="00C36733" w:rsidRPr="009E6E84" w:rsidRDefault="0058063F" w:rsidP="002B790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6733" w:rsidRPr="009E6E84" w:rsidRDefault="0058063F" w:rsidP="002B790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др Александра Томић</w:t>
            </w:r>
          </w:p>
        </w:tc>
      </w:tr>
    </w:tbl>
    <w:p w:rsidR="00C36733" w:rsidRPr="009E6E84" w:rsidRDefault="0058063F" w:rsidP="002B79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C36733" w:rsidRPr="009E6E84" w:rsidSect="00D5147E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63F" w:rsidRDefault="0058063F">
      <w:pPr>
        <w:spacing w:after="0" w:line="240" w:lineRule="auto"/>
      </w:pPr>
      <w:r>
        <w:separator/>
      </w:r>
    </w:p>
  </w:endnote>
  <w:endnote w:type="continuationSeparator" w:id="0">
    <w:p w:rsidR="0058063F" w:rsidRDefault="0058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63F" w:rsidRDefault="0058063F">
      <w:pPr>
        <w:spacing w:after="0" w:line="240" w:lineRule="auto"/>
      </w:pPr>
      <w:r>
        <w:separator/>
      </w:r>
    </w:p>
  </w:footnote>
  <w:footnote w:type="continuationSeparator" w:id="0">
    <w:p w:rsidR="0058063F" w:rsidRDefault="0058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3873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147E" w:rsidRDefault="0058063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F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147E" w:rsidRDefault="005806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F11"/>
    <w:multiLevelType w:val="hybridMultilevel"/>
    <w:tmpl w:val="E892DDD8"/>
    <w:lvl w:ilvl="0" w:tplc="06820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F23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38F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6FD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2B4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C9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E92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222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E873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942F0"/>
    <w:multiLevelType w:val="hybridMultilevel"/>
    <w:tmpl w:val="AD6EEF5E"/>
    <w:lvl w:ilvl="0" w:tplc="C6042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B206FD90" w:tentative="1">
      <w:start w:val="1"/>
      <w:numFmt w:val="lowerLetter"/>
      <w:lvlText w:val="%2."/>
      <w:lvlJc w:val="left"/>
      <w:pPr>
        <w:ind w:left="2520" w:hanging="360"/>
      </w:pPr>
    </w:lvl>
    <w:lvl w:ilvl="2" w:tplc="08E0BCB4" w:tentative="1">
      <w:start w:val="1"/>
      <w:numFmt w:val="lowerRoman"/>
      <w:lvlText w:val="%3."/>
      <w:lvlJc w:val="right"/>
      <w:pPr>
        <w:ind w:left="3240" w:hanging="180"/>
      </w:pPr>
    </w:lvl>
    <w:lvl w:ilvl="3" w:tplc="E71A6CBA" w:tentative="1">
      <w:start w:val="1"/>
      <w:numFmt w:val="decimal"/>
      <w:lvlText w:val="%4."/>
      <w:lvlJc w:val="left"/>
      <w:pPr>
        <w:ind w:left="3960" w:hanging="360"/>
      </w:pPr>
    </w:lvl>
    <w:lvl w:ilvl="4" w:tplc="B7AE12FE" w:tentative="1">
      <w:start w:val="1"/>
      <w:numFmt w:val="lowerLetter"/>
      <w:lvlText w:val="%5."/>
      <w:lvlJc w:val="left"/>
      <w:pPr>
        <w:ind w:left="4680" w:hanging="360"/>
      </w:pPr>
    </w:lvl>
    <w:lvl w:ilvl="5" w:tplc="1EC83936" w:tentative="1">
      <w:start w:val="1"/>
      <w:numFmt w:val="lowerRoman"/>
      <w:lvlText w:val="%6."/>
      <w:lvlJc w:val="right"/>
      <w:pPr>
        <w:ind w:left="5400" w:hanging="180"/>
      </w:pPr>
    </w:lvl>
    <w:lvl w:ilvl="6" w:tplc="4BE4BA98" w:tentative="1">
      <w:start w:val="1"/>
      <w:numFmt w:val="decimal"/>
      <w:lvlText w:val="%7."/>
      <w:lvlJc w:val="left"/>
      <w:pPr>
        <w:ind w:left="6120" w:hanging="360"/>
      </w:pPr>
    </w:lvl>
    <w:lvl w:ilvl="7" w:tplc="F62ECD58" w:tentative="1">
      <w:start w:val="1"/>
      <w:numFmt w:val="lowerLetter"/>
      <w:lvlText w:val="%8."/>
      <w:lvlJc w:val="left"/>
      <w:pPr>
        <w:ind w:left="6840" w:hanging="360"/>
      </w:pPr>
    </w:lvl>
    <w:lvl w:ilvl="8" w:tplc="2C507A6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52316B"/>
    <w:multiLevelType w:val="hybridMultilevel"/>
    <w:tmpl w:val="96E0BD72"/>
    <w:lvl w:ilvl="0" w:tplc="6E74B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7C4DD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AE7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A4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85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2E5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C6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86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88D6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1229A"/>
    <w:multiLevelType w:val="hybridMultilevel"/>
    <w:tmpl w:val="951CDFE8"/>
    <w:lvl w:ilvl="0" w:tplc="E9BC6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outline w:val="0"/>
        <w:shadow w:val="0"/>
        <w:emboss w:val="0"/>
        <w:imprint w:val="0"/>
      </w:rPr>
    </w:lvl>
    <w:lvl w:ilvl="1" w:tplc="B300B0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9CD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86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A1A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EE8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88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A9A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462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B3DA5"/>
    <w:multiLevelType w:val="hybridMultilevel"/>
    <w:tmpl w:val="D57C7136"/>
    <w:lvl w:ilvl="0" w:tplc="C7328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4FE1520" w:tentative="1">
      <w:start w:val="1"/>
      <w:numFmt w:val="lowerLetter"/>
      <w:lvlText w:val="%2."/>
      <w:lvlJc w:val="left"/>
      <w:pPr>
        <w:ind w:left="2520" w:hanging="360"/>
      </w:pPr>
    </w:lvl>
    <w:lvl w:ilvl="2" w:tplc="C4105666" w:tentative="1">
      <w:start w:val="1"/>
      <w:numFmt w:val="lowerRoman"/>
      <w:lvlText w:val="%3."/>
      <w:lvlJc w:val="right"/>
      <w:pPr>
        <w:ind w:left="3240" w:hanging="180"/>
      </w:pPr>
    </w:lvl>
    <w:lvl w:ilvl="3" w:tplc="1E3E7B5E" w:tentative="1">
      <w:start w:val="1"/>
      <w:numFmt w:val="decimal"/>
      <w:lvlText w:val="%4."/>
      <w:lvlJc w:val="left"/>
      <w:pPr>
        <w:ind w:left="3960" w:hanging="360"/>
      </w:pPr>
    </w:lvl>
    <w:lvl w:ilvl="4" w:tplc="6AACA22A" w:tentative="1">
      <w:start w:val="1"/>
      <w:numFmt w:val="lowerLetter"/>
      <w:lvlText w:val="%5."/>
      <w:lvlJc w:val="left"/>
      <w:pPr>
        <w:ind w:left="4680" w:hanging="360"/>
      </w:pPr>
    </w:lvl>
    <w:lvl w:ilvl="5" w:tplc="8E8C0C4A" w:tentative="1">
      <w:start w:val="1"/>
      <w:numFmt w:val="lowerRoman"/>
      <w:lvlText w:val="%6."/>
      <w:lvlJc w:val="right"/>
      <w:pPr>
        <w:ind w:left="5400" w:hanging="180"/>
      </w:pPr>
    </w:lvl>
    <w:lvl w:ilvl="6" w:tplc="AF446272" w:tentative="1">
      <w:start w:val="1"/>
      <w:numFmt w:val="decimal"/>
      <w:lvlText w:val="%7."/>
      <w:lvlJc w:val="left"/>
      <w:pPr>
        <w:ind w:left="6120" w:hanging="360"/>
      </w:pPr>
    </w:lvl>
    <w:lvl w:ilvl="7" w:tplc="36BAFAFC" w:tentative="1">
      <w:start w:val="1"/>
      <w:numFmt w:val="lowerLetter"/>
      <w:lvlText w:val="%8."/>
      <w:lvlJc w:val="left"/>
      <w:pPr>
        <w:ind w:left="6840" w:hanging="360"/>
      </w:pPr>
    </w:lvl>
    <w:lvl w:ilvl="8" w:tplc="419449B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9C8"/>
    <w:rsid w:val="00097F23"/>
    <w:rsid w:val="003429C8"/>
    <w:rsid w:val="005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8835-2D56-42EA-953D-67F6A6A8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34</cp:revision>
  <cp:lastPrinted>2014-10-30T13:42:00Z</cp:lastPrinted>
  <dcterms:created xsi:type="dcterms:W3CDTF">2016-01-14T09:40:00Z</dcterms:created>
  <dcterms:modified xsi:type="dcterms:W3CDTF">2016-02-23T09:18:00Z</dcterms:modified>
</cp:coreProperties>
</file>